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2D3C1F">
      <w:pPr>
        <w:rPr>
          <w:rFonts w:hint="eastAsia" w:eastAsia="仿宋"/>
          <w:b/>
          <w:bCs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附件一：</w:t>
      </w:r>
    </w:p>
    <w:p w14:paraId="208FC9B0"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right="0" w:rightChars="0"/>
        <w:rPr>
          <w:rFonts w:hint="eastAsia" w:ascii="仿宋" w:hAnsi="仿宋" w:eastAsia="仿宋" w:cs="仿宋"/>
          <w:b/>
          <w:bCs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采购项目</w:t>
      </w:r>
      <w:r>
        <w:rPr>
          <w:rFonts w:hint="eastAsia" w:ascii="仿宋" w:hAnsi="仿宋" w:eastAsia="仿宋" w:cs="仿宋"/>
          <w:b/>
          <w:bCs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参数</w:t>
      </w:r>
      <w:r>
        <w:rPr>
          <w:rFonts w:hint="eastAsia" w:ascii="仿宋" w:hAnsi="仿宋" w:eastAsia="仿宋" w:cs="仿宋"/>
          <w:b/>
          <w:bCs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：</w:t>
      </w:r>
    </w:p>
    <w:p w14:paraId="5CFDA8BF"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right="0" w:rightChars="0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项目一：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可信认证机项目</w:t>
      </w:r>
    </w:p>
    <w:p w14:paraId="57BB9C5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（一）硬件技术要求：</w:t>
      </w:r>
    </w:p>
    <w:p w14:paraId="3E07EF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桌面式认证机：</w:t>
      </w:r>
    </w:p>
    <w:p w14:paraId="08D1C966">
      <w:pPr>
        <w:pStyle w:val="2"/>
        <w:numPr>
          <w:ilvl w:val="0"/>
          <w:numId w:val="1"/>
        </w:numPr>
        <w:spacing w:line="360" w:lineRule="auto"/>
        <w:ind w:left="0" w:leftChars="0" w:firstLine="0" w:firstLineChars="0"/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CPU： 四核Cortex-A17 1.8GHz 以上</w:t>
      </w:r>
    </w:p>
    <w:p w14:paraId="53555255">
      <w:pPr>
        <w:pStyle w:val="2"/>
        <w:numPr>
          <w:ilvl w:val="0"/>
          <w:numId w:val="1"/>
        </w:numPr>
        <w:spacing w:line="360" w:lineRule="auto"/>
        <w:ind w:left="0" w:leftChars="0" w:firstLine="0" w:firstLineChars="0"/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RAM+ROM：2G+16G 以上</w:t>
      </w:r>
    </w:p>
    <w:p w14:paraId="143448CD">
      <w:pPr>
        <w:pStyle w:val="2"/>
        <w:numPr>
          <w:ilvl w:val="0"/>
          <w:numId w:val="1"/>
        </w:numPr>
        <w:spacing w:line="360" w:lineRule="auto"/>
        <w:ind w:left="0" w:leftChars="0" w:firstLine="0" w:firstLineChars="0"/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系统：Android 5.1 以上</w:t>
      </w:r>
    </w:p>
    <w:p w14:paraId="443994D3">
      <w:pPr>
        <w:pStyle w:val="2"/>
        <w:numPr>
          <w:ilvl w:val="0"/>
          <w:numId w:val="1"/>
        </w:numPr>
        <w:spacing w:line="360" w:lineRule="auto"/>
        <w:ind w:left="0" w:leftChars="0" w:firstLine="0" w:firstLineChars="0"/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屏幕：10.1寸，触摸屏电容式，G+G，支持5点触控</w:t>
      </w:r>
    </w:p>
    <w:p w14:paraId="1BA9EF73">
      <w:pPr>
        <w:pStyle w:val="2"/>
        <w:numPr>
          <w:ilvl w:val="0"/>
          <w:numId w:val="1"/>
        </w:numPr>
        <w:spacing w:line="360" w:lineRule="auto"/>
        <w:ind w:left="0" w:leftChars="0" w:firstLine="0" w:firstLineChars="0"/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Bluetooth：BT4.0</w:t>
      </w:r>
    </w:p>
    <w:p w14:paraId="43C7A383">
      <w:pPr>
        <w:pStyle w:val="2"/>
        <w:numPr>
          <w:ilvl w:val="0"/>
          <w:numId w:val="1"/>
        </w:numPr>
        <w:spacing w:line="360" w:lineRule="auto"/>
        <w:ind w:left="0" w:leftChars="0" w:firstLine="0" w:firstLineChars="0"/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Wifi：支持802.11b/g/n协议，2.4GHz</w:t>
      </w:r>
    </w:p>
    <w:p w14:paraId="1055E9DF">
      <w:pPr>
        <w:pStyle w:val="2"/>
        <w:numPr>
          <w:ilvl w:val="0"/>
          <w:numId w:val="1"/>
        </w:numPr>
        <w:spacing w:line="360" w:lineRule="auto"/>
        <w:ind w:left="0" w:leftChars="0" w:firstLine="0" w:firstLineChars="0"/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摄像头：800万，自动对焦，支持一维/二维码扫描</w:t>
      </w:r>
    </w:p>
    <w:p w14:paraId="045A9B29">
      <w:pPr>
        <w:pStyle w:val="2"/>
        <w:numPr>
          <w:ilvl w:val="0"/>
          <w:numId w:val="1"/>
        </w:numPr>
        <w:spacing w:line="360" w:lineRule="auto"/>
        <w:ind w:left="0" w:leftChars="0" w:firstLine="0" w:firstLineChars="0"/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USB接口：USB HOST 2.0接口</w:t>
      </w:r>
    </w:p>
    <w:p w14:paraId="033FF6F9">
      <w:pPr>
        <w:pStyle w:val="2"/>
        <w:numPr>
          <w:ilvl w:val="0"/>
          <w:numId w:val="1"/>
        </w:numPr>
        <w:spacing w:line="360" w:lineRule="auto"/>
        <w:ind w:left="0" w:leftChars="0" w:firstLine="0" w:firstLineChars="0"/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SD卡座：最大支持64GB</w:t>
      </w:r>
    </w:p>
    <w:p w14:paraId="49887D3B">
      <w:pPr>
        <w:pStyle w:val="2"/>
        <w:numPr>
          <w:ilvl w:val="0"/>
          <w:numId w:val="1"/>
        </w:numPr>
        <w:spacing w:line="360" w:lineRule="auto"/>
        <w:ind w:left="0" w:leftChars="0" w:firstLine="0" w:firstLineChars="0"/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电源接口：DC座，4.0mm*1.7mm</w:t>
      </w:r>
    </w:p>
    <w:p w14:paraId="5EEA5CAA">
      <w:pPr>
        <w:pStyle w:val="2"/>
        <w:numPr>
          <w:ilvl w:val="0"/>
          <w:numId w:val="1"/>
        </w:numPr>
        <w:spacing w:line="360" w:lineRule="auto"/>
        <w:ind w:left="0" w:leftChars="0" w:firstLine="0" w:firstLineChars="0"/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读卡方式：屏下读卡</w:t>
      </w:r>
    </w:p>
    <w:p w14:paraId="1E2CC991">
      <w:pPr>
        <w:pStyle w:val="2"/>
        <w:numPr>
          <w:ilvl w:val="0"/>
          <w:numId w:val="1"/>
        </w:numPr>
        <w:spacing w:line="360" w:lineRule="auto"/>
        <w:ind w:left="0" w:leftChars="0" w:firstLine="0" w:firstLineChars="0"/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证件读取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功能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支持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二代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身份证件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、普通护照、港澳居民来往内地通行证、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外国人永久居留证读取</w:t>
      </w:r>
    </w:p>
    <w:p w14:paraId="3FA43CF0">
      <w:pPr>
        <w:spacing w:line="360" w:lineRule="auto"/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便携式认证机：</w:t>
      </w:r>
    </w:p>
    <w:p w14:paraId="190A0F29">
      <w:pPr>
        <w:pStyle w:val="2"/>
        <w:numPr>
          <w:ilvl w:val="0"/>
          <w:numId w:val="2"/>
        </w:numPr>
        <w:spacing w:line="360" w:lineRule="auto"/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CPU： 八核4核A73 2.0 GHz + 4核A53 2.0 GHz</w:t>
      </w:r>
    </w:p>
    <w:p w14:paraId="72EB09F4">
      <w:pPr>
        <w:pStyle w:val="2"/>
        <w:numPr>
          <w:ilvl w:val="0"/>
          <w:numId w:val="2"/>
        </w:numPr>
        <w:spacing w:line="360" w:lineRule="auto"/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RAM+ROM：4G+64G</w:t>
      </w:r>
    </w:p>
    <w:p w14:paraId="08DA290F">
      <w:pPr>
        <w:pStyle w:val="2"/>
        <w:numPr>
          <w:ilvl w:val="0"/>
          <w:numId w:val="2"/>
        </w:numPr>
        <w:spacing w:line="360" w:lineRule="auto"/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系统：Android 10</w:t>
      </w:r>
    </w:p>
    <w:p w14:paraId="293DC127">
      <w:pPr>
        <w:pStyle w:val="2"/>
        <w:numPr>
          <w:ilvl w:val="0"/>
          <w:numId w:val="2"/>
        </w:numPr>
        <w:spacing w:line="360" w:lineRule="auto"/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屏幕：10.1寸，触摸屏电容式，G+G</w:t>
      </w:r>
    </w:p>
    <w:p w14:paraId="109042D4">
      <w:pPr>
        <w:pStyle w:val="2"/>
        <w:numPr>
          <w:ilvl w:val="0"/>
          <w:numId w:val="2"/>
        </w:numPr>
        <w:spacing w:line="360" w:lineRule="auto"/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Bluetooth：BT5.0 </w:t>
      </w:r>
    </w:p>
    <w:p w14:paraId="1052B329">
      <w:pPr>
        <w:pStyle w:val="2"/>
        <w:numPr>
          <w:ilvl w:val="0"/>
          <w:numId w:val="2"/>
        </w:numPr>
        <w:spacing w:line="360" w:lineRule="auto"/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Wifi：WLAN 802.11 b/g/n/ac 2.4G&amp;5G</w:t>
      </w:r>
    </w:p>
    <w:p w14:paraId="47904E91">
      <w:pPr>
        <w:pStyle w:val="2"/>
        <w:numPr>
          <w:ilvl w:val="0"/>
          <w:numId w:val="2"/>
        </w:numPr>
        <w:spacing w:line="360" w:lineRule="auto"/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摄像头：前置摄像头1300万AF，后置摄像头500万，支持一维/二维码扫描</w:t>
      </w:r>
    </w:p>
    <w:p w14:paraId="1F5499E1">
      <w:pPr>
        <w:pStyle w:val="2"/>
        <w:numPr>
          <w:ilvl w:val="0"/>
          <w:numId w:val="2"/>
        </w:numPr>
        <w:spacing w:line="360" w:lineRule="auto"/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USB接口：Type-C接口*1个，USB2.0 接口*1个</w:t>
      </w:r>
    </w:p>
    <w:p w14:paraId="68EE4485">
      <w:pPr>
        <w:pStyle w:val="2"/>
        <w:numPr>
          <w:ilvl w:val="0"/>
          <w:numId w:val="2"/>
        </w:numPr>
        <w:spacing w:line="360" w:lineRule="auto"/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SIM卡座：支持Nano SIM卡</w:t>
      </w:r>
    </w:p>
    <w:p w14:paraId="132D5E6F">
      <w:pPr>
        <w:pStyle w:val="2"/>
        <w:numPr>
          <w:ilvl w:val="0"/>
          <w:numId w:val="2"/>
        </w:numPr>
        <w:spacing w:line="360" w:lineRule="auto"/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电池：容量10000mAh</w:t>
      </w:r>
    </w:p>
    <w:p w14:paraId="05017ADB">
      <w:pPr>
        <w:pStyle w:val="2"/>
        <w:numPr>
          <w:ilvl w:val="0"/>
          <w:numId w:val="2"/>
        </w:numPr>
        <w:spacing w:line="360" w:lineRule="auto"/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读卡方式：屏下读卡</w:t>
      </w:r>
    </w:p>
    <w:p w14:paraId="4DC9F584">
      <w:pPr>
        <w:pStyle w:val="2"/>
        <w:numPr>
          <w:ilvl w:val="0"/>
          <w:numId w:val="2"/>
        </w:numPr>
        <w:spacing w:line="360" w:lineRule="auto"/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证件读取功能：支持二代身份证件、普通护照、港澳居民来往内地通行证、外国人永久居留证读取</w:t>
      </w:r>
    </w:p>
    <w:p w14:paraId="7D7EE062"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（二）功能要求：</w:t>
      </w:r>
    </w:p>
    <w:p w14:paraId="6F0D9791">
      <w:pPr>
        <w:pStyle w:val="6"/>
        <w:numPr>
          <w:ilvl w:val="0"/>
          <w:numId w:val="3"/>
        </w:numPr>
        <w:spacing w:line="360" w:lineRule="auto"/>
        <w:ind w:left="0" w:leftChars="0" w:firstLine="0" w:firstLineChars="0"/>
        <w:jc w:val="left"/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“人证合一”身份验证设备应采用屏下读卡方式，读卡器集成在设备显示屏之下，模块集成度高，便于读卡操作。</w:t>
      </w:r>
    </w:p>
    <w:p w14:paraId="2E0CE090">
      <w:pPr>
        <w:pStyle w:val="6"/>
        <w:numPr>
          <w:ilvl w:val="0"/>
          <w:numId w:val="3"/>
        </w:numPr>
        <w:spacing w:line="360" w:lineRule="auto"/>
        <w:ind w:left="0" w:leftChars="0" w:firstLine="0" w:firstLineChars="0"/>
        <w:jc w:val="left"/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“人证合一”身份验证设备应具备第二代居民身份证信息读取、人脸等生物信息识别等功能，并通过互联网与公安部门的信息进行比对，并实时反馈患者与其持有的身份证信息是否一致的核验结果。</w:t>
      </w:r>
    </w:p>
    <w:p w14:paraId="7973BD48">
      <w:pPr>
        <w:pStyle w:val="6"/>
        <w:numPr>
          <w:ilvl w:val="0"/>
          <w:numId w:val="3"/>
        </w:numPr>
        <w:spacing w:line="360" w:lineRule="auto"/>
        <w:ind w:left="0" w:leftChars="0" w:firstLine="0" w:firstLineChars="0"/>
        <w:jc w:val="left"/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设备应具备活体检测技术，提供静默活体检测技术，确保本人在设备前操作。</w:t>
      </w:r>
    </w:p>
    <w:p w14:paraId="3A7D2F37">
      <w:pPr>
        <w:pStyle w:val="6"/>
        <w:numPr>
          <w:ilvl w:val="0"/>
          <w:numId w:val="3"/>
        </w:numPr>
        <w:spacing w:line="360" w:lineRule="auto"/>
        <w:ind w:left="0" w:leftChars="0" w:firstLine="0" w:firstLineChars="0"/>
        <w:jc w:val="left"/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在身份证消磁或没带身份证导致无法读取身份信息的情况下，设备应支持手动输入身份信息进行“无证核验”，或者支持通过出示数字身份二维码进行身份核验。</w:t>
      </w:r>
    </w:p>
    <w:p w14:paraId="37671BDE">
      <w:pPr>
        <w:pStyle w:val="6"/>
        <w:numPr>
          <w:ilvl w:val="0"/>
          <w:numId w:val="3"/>
        </w:numPr>
        <w:spacing w:line="360" w:lineRule="auto"/>
        <w:ind w:left="0" w:leftChars="0" w:firstLine="0" w:firstLineChars="0"/>
        <w:jc w:val="left"/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设备除了可以核验二代身份证外，还可以核验华侨护照、港澳通行证、外国人永久居留证等身份信息的“人证合一”。</w:t>
      </w:r>
    </w:p>
    <w:p w14:paraId="0800A60E">
      <w:pPr>
        <w:pStyle w:val="6"/>
        <w:numPr>
          <w:ilvl w:val="0"/>
          <w:numId w:val="3"/>
        </w:numPr>
        <w:spacing w:line="360" w:lineRule="auto"/>
        <w:ind w:left="0" w:leftChars="0" w:firstLine="0" w:firstLineChars="0"/>
        <w:jc w:val="left"/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核验设备应支持电子签名，支持在核验完成后的手写签名确认功能，提供二签、三签等多种签名复核确认方式。</w:t>
      </w:r>
    </w:p>
    <w:p w14:paraId="0A82DE1B">
      <w:pPr>
        <w:pStyle w:val="6"/>
        <w:numPr>
          <w:ilvl w:val="0"/>
          <w:numId w:val="3"/>
        </w:numPr>
        <w:spacing w:line="360" w:lineRule="auto"/>
        <w:ind w:left="0" w:leftChars="0" w:firstLine="0" w:firstLineChars="0"/>
        <w:jc w:val="left"/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设备应支持数字身份开通功能。</w:t>
      </w:r>
    </w:p>
    <w:p w14:paraId="0AB89002">
      <w:pPr>
        <w:pStyle w:val="6"/>
        <w:numPr>
          <w:ilvl w:val="0"/>
          <w:numId w:val="3"/>
        </w:numPr>
        <w:spacing w:line="360" w:lineRule="auto"/>
        <w:ind w:left="0" w:leftChars="0" w:firstLine="0" w:firstLineChars="0"/>
        <w:jc w:val="left"/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设备能提供管理平台，支持医院对设备事情情况的查询、统计、导出以及结果的打印功能。</w:t>
      </w:r>
    </w:p>
    <w:p w14:paraId="3E63CFD4">
      <w:pPr>
        <w:pStyle w:val="6"/>
        <w:numPr>
          <w:ilvl w:val="0"/>
          <w:numId w:val="3"/>
        </w:numPr>
        <w:spacing w:line="360" w:lineRule="auto"/>
        <w:ind w:left="0" w:leftChars="0" w:firstLine="0" w:firstLineChars="0"/>
        <w:jc w:val="left"/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认证系统应支持国产信创，具备统信、华为云技术、鲲鹏、海量数据产品等适配认证证书。</w:t>
      </w:r>
    </w:p>
    <w:p w14:paraId="737EE2CC">
      <w:pPr>
        <w:pStyle w:val="6"/>
        <w:numPr>
          <w:ilvl w:val="0"/>
          <w:numId w:val="3"/>
        </w:numPr>
        <w:spacing w:line="360" w:lineRule="auto"/>
        <w:ind w:left="0" w:leftChars="0" w:firstLine="0" w:firstLineChars="0"/>
        <w:jc w:val="left"/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“人证合一”身份验证设备软件应具备国家版权局颁布的计算机软件著作权。</w:t>
      </w:r>
    </w:p>
    <w:p w14:paraId="2B65B55D">
      <w:pPr>
        <w:pStyle w:val="6"/>
        <w:numPr>
          <w:ilvl w:val="0"/>
          <w:numId w:val="3"/>
        </w:numPr>
        <w:spacing w:line="360" w:lineRule="auto"/>
        <w:ind w:left="0" w:leftChars="0" w:firstLine="0" w:firstLineChars="0"/>
        <w:jc w:val="left"/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系统应具备三级等保资质。</w:t>
      </w:r>
    </w:p>
    <w:p w14:paraId="35440ED1"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right="0" w:rightChars="0"/>
        <w:rPr>
          <w:rFonts w:hint="eastAsia" w:ascii="仿宋" w:hAnsi="仿宋" w:eastAsia="仿宋" w:cs="仿宋"/>
          <w:b/>
          <w:bCs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</w:p>
    <w:p w14:paraId="7D437556"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right="0" w:rightChars="0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项目二：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医院信息接口改造项目参数</w:t>
      </w:r>
    </w:p>
    <w:p w14:paraId="089797A7">
      <w:pPr>
        <w:spacing w:line="360" w:lineRule="auto"/>
        <w:jc w:val="left"/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参数：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食源性疾病监测系统接口对接开发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：</w:t>
      </w:r>
    </w:p>
    <w:p w14:paraId="56B91F2F">
      <w:pPr>
        <w:spacing w:line="360" w:lineRule="auto"/>
        <w:jc w:val="left"/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1、按照系统对接方式一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数据智能采集《医院与国家食源性疾病病例数据智能采集试点工作-嵌入式微服务组件集成策略技术方案》，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对接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国家食源性疾病监测系统。 </w:t>
      </w:r>
    </w:p>
    <w:p w14:paraId="65E2641B"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right="0" w:rightChars="0"/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程序对接：临床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床医生在门诊、住院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发送处方、医嘱后，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系统会对患者诊断信息检测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提供医生需填写患者列表或提示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进行食源性疾病信息填报。</w:t>
      </w:r>
    </w:p>
    <w:p w14:paraId="16E646D5"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right="0" w:rightChars="0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3、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提供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不少于一年的免费维保服务，一年不少于6次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的日常巡检服务，保证系统正常稳定运行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 w14:paraId="7B4D3B17"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555" w:leftChars="0" w:right="0" w:rightChars="0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 w14:paraId="088E6C7E"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right="0" w:rightChars="0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项目三：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网络支撑平台升级改造服务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项目参数</w:t>
      </w:r>
    </w:p>
    <w:tbl>
      <w:tblPr>
        <w:tblStyle w:val="4"/>
        <w:tblW w:w="91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3"/>
        <w:gridCol w:w="1424"/>
        <w:gridCol w:w="5658"/>
        <w:gridCol w:w="1431"/>
      </w:tblGrid>
      <w:tr w14:paraId="23518F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673" w:type="dxa"/>
            <w:noWrap w:val="0"/>
            <w:vAlign w:val="center"/>
          </w:tcPr>
          <w:p w14:paraId="30C2B436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424" w:type="dxa"/>
            <w:noWrap w:val="0"/>
            <w:vAlign w:val="center"/>
          </w:tcPr>
          <w:p w14:paraId="2214ADC0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服务项目</w:t>
            </w:r>
          </w:p>
        </w:tc>
        <w:tc>
          <w:tcPr>
            <w:tcW w:w="5658" w:type="dxa"/>
            <w:noWrap w:val="0"/>
            <w:vAlign w:val="center"/>
          </w:tcPr>
          <w:p w14:paraId="2FEABF14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服务方式</w:t>
            </w:r>
          </w:p>
        </w:tc>
        <w:tc>
          <w:tcPr>
            <w:tcW w:w="1431" w:type="dxa"/>
            <w:noWrap w:val="0"/>
            <w:vAlign w:val="center"/>
          </w:tcPr>
          <w:p w14:paraId="6F2D7AA5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服务周期</w:t>
            </w:r>
          </w:p>
        </w:tc>
      </w:tr>
      <w:tr w14:paraId="38AC8A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673" w:type="dxa"/>
            <w:noWrap w:val="0"/>
            <w:vAlign w:val="center"/>
          </w:tcPr>
          <w:p w14:paraId="6BA5F433">
            <w:pPr>
              <w:numPr>
                <w:ilvl w:val="0"/>
                <w:numId w:val="4"/>
              </w:numPr>
              <w:spacing w:line="360" w:lineRule="auto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4" w:type="dxa"/>
            <w:noWrap w:val="0"/>
            <w:vAlign w:val="center"/>
          </w:tcPr>
          <w:p w14:paraId="0188EC2F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免费技术咨询服务</w:t>
            </w:r>
          </w:p>
        </w:tc>
        <w:tc>
          <w:tcPr>
            <w:tcW w:w="5658" w:type="dxa"/>
            <w:noWrap w:val="0"/>
            <w:vAlign w:val="center"/>
          </w:tcPr>
          <w:p w14:paraId="52C1C5E2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免费提供电话技术指导和咨询服务，包括系统使用的优化、系统故障的分析和常见问题解答等。</w:t>
            </w:r>
          </w:p>
        </w:tc>
        <w:tc>
          <w:tcPr>
            <w:tcW w:w="1431" w:type="dxa"/>
            <w:noWrap w:val="0"/>
            <w:vAlign w:val="center"/>
          </w:tcPr>
          <w:p w14:paraId="05529C8A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7×24小时</w:t>
            </w:r>
          </w:p>
        </w:tc>
      </w:tr>
      <w:tr w14:paraId="37BA90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673" w:type="dxa"/>
            <w:noWrap w:val="0"/>
            <w:vAlign w:val="center"/>
          </w:tcPr>
          <w:p w14:paraId="59E51190">
            <w:pPr>
              <w:numPr>
                <w:ilvl w:val="0"/>
                <w:numId w:val="4"/>
              </w:numPr>
              <w:spacing w:line="360" w:lineRule="auto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4" w:type="dxa"/>
            <w:noWrap w:val="0"/>
            <w:vAlign w:val="center"/>
          </w:tcPr>
          <w:p w14:paraId="4948439F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培训服务</w:t>
            </w:r>
          </w:p>
        </w:tc>
        <w:tc>
          <w:tcPr>
            <w:tcW w:w="5658" w:type="dxa"/>
            <w:noWrap w:val="0"/>
            <w:vAlign w:val="center"/>
          </w:tcPr>
          <w:p w14:paraId="641CA345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根据医院需要提供系统使用培训，确保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用户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掌握系统功能的使用方法。</w:t>
            </w:r>
          </w:p>
        </w:tc>
        <w:tc>
          <w:tcPr>
            <w:tcW w:w="1431" w:type="dxa"/>
            <w:noWrap w:val="0"/>
            <w:vAlign w:val="center"/>
          </w:tcPr>
          <w:p w14:paraId="35B63349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按需提供</w:t>
            </w:r>
          </w:p>
        </w:tc>
      </w:tr>
      <w:tr w14:paraId="268880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673" w:type="dxa"/>
            <w:vMerge w:val="restart"/>
            <w:noWrap w:val="0"/>
            <w:vAlign w:val="center"/>
          </w:tcPr>
          <w:p w14:paraId="00484D81">
            <w:pPr>
              <w:numPr>
                <w:ilvl w:val="0"/>
                <w:numId w:val="4"/>
              </w:numPr>
              <w:spacing w:line="360" w:lineRule="auto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4" w:type="dxa"/>
            <w:vMerge w:val="restart"/>
            <w:noWrap w:val="0"/>
            <w:vAlign w:val="center"/>
          </w:tcPr>
          <w:p w14:paraId="632590B3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定期服务</w:t>
            </w:r>
          </w:p>
        </w:tc>
        <w:tc>
          <w:tcPr>
            <w:tcW w:w="5658" w:type="dxa"/>
            <w:noWrap w:val="0"/>
            <w:vAlign w:val="center"/>
          </w:tcPr>
          <w:p w14:paraId="4DAEDF1F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提供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一年不少于2次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的日常巡检服务，保证系统正常稳定运行</w:t>
            </w:r>
          </w:p>
        </w:tc>
        <w:tc>
          <w:tcPr>
            <w:tcW w:w="1431" w:type="dxa"/>
            <w:noWrap w:val="0"/>
            <w:vAlign w:val="center"/>
          </w:tcPr>
          <w:p w14:paraId="415055B8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一年不少于2次</w:t>
            </w:r>
          </w:p>
        </w:tc>
      </w:tr>
      <w:tr w14:paraId="588E97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673" w:type="dxa"/>
            <w:vMerge w:val="continue"/>
            <w:noWrap w:val="0"/>
            <w:vAlign w:val="center"/>
          </w:tcPr>
          <w:p w14:paraId="1A9914E2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4" w:type="dxa"/>
            <w:vMerge w:val="continue"/>
            <w:noWrap w:val="0"/>
            <w:vAlign w:val="center"/>
          </w:tcPr>
          <w:p w14:paraId="5A2434E5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58" w:type="dxa"/>
            <w:noWrap w:val="0"/>
            <w:vAlign w:val="center"/>
          </w:tcPr>
          <w:p w14:paraId="607A6608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系统规则更新</w:t>
            </w:r>
          </w:p>
        </w:tc>
        <w:tc>
          <w:tcPr>
            <w:tcW w:w="1431" w:type="dxa"/>
            <w:noWrap w:val="0"/>
            <w:vAlign w:val="center"/>
          </w:tcPr>
          <w:p w14:paraId="51E13E91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每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季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1次</w:t>
            </w:r>
          </w:p>
        </w:tc>
      </w:tr>
      <w:tr w14:paraId="231D95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673" w:type="dxa"/>
            <w:vMerge w:val="continue"/>
            <w:noWrap w:val="0"/>
            <w:vAlign w:val="center"/>
          </w:tcPr>
          <w:p w14:paraId="6C0A8871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4" w:type="dxa"/>
            <w:vMerge w:val="continue"/>
            <w:noWrap w:val="0"/>
            <w:vAlign w:val="center"/>
          </w:tcPr>
          <w:p w14:paraId="538580FE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58" w:type="dxa"/>
            <w:noWrap w:val="0"/>
            <w:vAlign w:val="center"/>
          </w:tcPr>
          <w:p w14:paraId="61C6689C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根据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户需求预约日期进行上门服务。配合用户进行设备的维护、调试等。</w:t>
            </w:r>
          </w:p>
        </w:tc>
        <w:tc>
          <w:tcPr>
            <w:tcW w:w="1431" w:type="dxa"/>
            <w:noWrap w:val="0"/>
            <w:vAlign w:val="center"/>
          </w:tcPr>
          <w:p w14:paraId="6D76F917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按需提供</w:t>
            </w:r>
          </w:p>
        </w:tc>
      </w:tr>
      <w:tr w14:paraId="11A008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</w:trPr>
        <w:tc>
          <w:tcPr>
            <w:tcW w:w="673" w:type="dxa"/>
            <w:noWrap w:val="0"/>
            <w:vAlign w:val="center"/>
          </w:tcPr>
          <w:p w14:paraId="346CE3AB">
            <w:pPr>
              <w:numPr>
                <w:ilvl w:val="0"/>
                <w:numId w:val="4"/>
              </w:numPr>
              <w:spacing w:line="360" w:lineRule="auto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4" w:type="dxa"/>
            <w:noWrap w:val="0"/>
            <w:vAlign w:val="center"/>
          </w:tcPr>
          <w:p w14:paraId="3886D945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故障应急服务</w:t>
            </w:r>
          </w:p>
        </w:tc>
        <w:tc>
          <w:tcPr>
            <w:tcW w:w="5658" w:type="dxa"/>
            <w:noWrap w:val="0"/>
            <w:vAlign w:val="center"/>
          </w:tcPr>
          <w:p w14:paraId="6918B243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提供7x24小时、1小时以内技术响应，12小时内到达现场的技术支持服务。若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48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小时内不能修复应提供备机使用。</w:t>
            </w:r>
          </w:p>
        </w:tc>
        <w:tc>
          <w:tcPr>
            <w:tcW w:w="1431" w:type="dxa"/>
            <w:noWrap w:val="0"/>
            <w:vAlign w:val="center"/>
          </w:tcPr>
          <w:p w14:paraId="247A9CD2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7×24小时</w:t>
            </w:r>
          </w:p>
        </w:tc>
      </w:tr>
      <w:tr w14:paraId="57746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673" w:type="dxa"/>
            <w:noWrap w:val="0"/>
            <w:vAlign w:val="center"/>
          </w:tcPr>
          <w:p w14:paraId="51C011E1">
            <w:pPr>
              <w:numPr>
                <w:ilvl w:val="0"/>
                <w:numId w:val="4"/>
              </w:numPr>
              <w:spacing w:line="360" w:lineRule="auto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4" w:type="dxa"/>
            <w:noWrap w:val="0"/>
            <w:vAlign w:val="center"/>
          </w:tcPr>
          <w:p w14:paraId="3312305E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接口服务</w:t>
            </w:r>
          </w:p>
        </w:tc>
        <w:tc>
          <w:tcPr>
            <w:tcW w:w="5658" w:type="dxa"/>
            <w:noWrap w:val="0"/>
            <w:vAlign w:val="center"/>
          </w:tcPr>
          <w:p w14:paraId="7F732C22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对现有的HIS数据库接入监测，完善配置功能，对统方敏感标的如处方药品、医用耗材、检验试剂等列入监测内容。</w:t>
            </w:r>
          </w:p>
        </w:tc>
        <w:tc>
          <w:tcPr>
            <w:tcW w:w="1431" w:type="dxa"/>
            <w:noWrap w:val="0"/>
            <w:vAlign w:val="center"/>
          </w:tcPr>
          <w:p w14:paraId="0ABCBC95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按需提供</w:t>
            </w:r>
          </w:p>
        </w:tc>
      </w:tr>
      <w:tr w14:paraId="00E4D9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673" w:type="dxa"/>
            <w:noWrap w:val="0"/>
            <w:vAlign w:val="center"/>
          </w:tcPr>
          <w:p w14:paraId="4E145C43">
            <w:pPr>
              <w:numPr>
                <w:ilvl w:val="0"/>
                <w:numId w:val="4"/>
              </w:numPr>
              <w:spacing w:line="360" w:lineRule="auto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4" w:type="dxa"/>
            <w:noWrap w:val="0"/>
            <w:vAlign w:val="center"/>
          </w:tcPr>
          <w:p w14:paraId="059DB211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备份服务</w:t>
            </w:r>
          </w:p>
        </w:tc>
        <w:tc>
          <w:tcPr>
            <w:tcW w:w="5658" w:type="dxa"/>
            <w:noWrap w:val="0"/>
            <w:vAlign w:val="center"/>
          </w:tcPr>
          <w:p w14:paraId="3B898309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备份高警示日志</w:t>
            </w:r>
          </w:p>
        </w:tc>
        <w:tc>
          <w:tcPr>
            <w:tcW w:w="1431" w:type="dxa"/>
            <w:noWrap w:val="0"/>
            <w:vAlign w:val="center"/>
          </w:tcPr>
          <w:p w14:paraId="2BAF481F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支持每日、每周、每月或按需操作</w:t>
            </w:r>
          </w:p>
        </w:tc>
      </w:tr>
      <w:tr w14:paraId="11ABF3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673" w:type="dxa"/>
            <w:noWrap w:val="0"/>
            <w:vAlign w:val="center"/>
          </w:tcPr>
          <w:p w14:paraId="61CDE9D1">
            <w:pPr>
              <w:numPr>
                <w:ilvl w:val="0"/>
                <w:numId w:val="4"/>
              </w:numPr>
              <w:spacing w:line="360" w:lineRule="auto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4" w:type="dxa"/>
            <w:noWrap w:val="0"/>
            <w:vAlign w:val="center"/>
          </w:tcPr>
          <w:p w14:paraId="3B865680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个性化功能</w:t>
            </w:r>
          </w:p>
        </w:tc>
        <w:tc>
          <w:tcPr>
            <w:tcW w:w="5658" w:type="dxa"/>
            <w:noWrap w:val="0"/>
            <w:vAlign w:val="center"/>
          </w:tcPr>
          <w:p w14:paraId="68FD0EFF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建立统方行为特征评分预警功能</w:t>
            </w:r>
          </w:p>
        </w:tc>
        <w:tc>
          <w:tcPr>
            <w:tcW w:w="1431" w:type="dxa"/>
            <w:noWrap w:val="0"/>
            <w:vAlign w:val="center"/>
          </w:tcPr>
          <w:p w14:paraId="4FD34C11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开发</w:t>
            </w:r>
          </w:p>
        </w:tc>
      </w:tr>
      <w:tr w14:paraId="200C6A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673" w:type="dxa"/>
            <w:noWrap w:val="0"/>
            <w:vAlign w:val="center"/>
          </w:tcPr>
          <w:p w14:paraId="3327BC58">
            <w:pPr>
              <w:numPr>
                <w:ilvl w:val="0"/>
                <w:numId w:val="4"/>
              </w:numPr>
              <w:spacing w:line="360" w:lineRule="auto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4" w:type="dxa"/>
            <w:noWrap w:val="0"/>
            <w:vAlign w:val="center"/>
          </w:tcPr>
          <w:p w14:paraId="1C97310A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历史数据可溯源</w:t>
            </w:r>
          </w:p>
        </w:tc>
        <w:tc>
          <w:tcPr>
            <w:tcW w:w="5658" w:type="dxa"/>
            <w:noWrap w:val="0"/>
            <w:vAlign w:val="center"/>
          </w:tcPr>
          <w:p w14:paraId="2D8F88B0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对于升级前原系统知识库、规则、数据等，可通过数据库接口以及数据转换工具汇聚展现。方便使用者对历史数据进行查看访问。</w:t>
            </w:r>
          </w:p>
        </w:tc>
        <w:tc>
          <w:tcPr>
            <w:tcW w:w="1431" w:type="dxa"/>
            <w:noWrap w:val="0"/>
            <w:vAlign w:val="center"/>
          </w:tcPr>
          <w:p w14:paraId="264F084C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按需提供</w:t>
            </w:r>
          </w:p>
        </w:tc>
      </w:tr>
      <w:tr w14:paraId="5BF177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673" w:type="dxa"/>
            <w:noWrap w:val="0"/>
            <w:vAlign w:val="center"/>
          </w:tcPr>
          <w:p w14:paraId="0D95E9DA">
            <w:pPr>
              <w:numPr>
                <w:ilvl w:val="0"/>
                <w:numId w:val="4"/>
              </w:numPr>
              <w:spacing w:line="360" w:lineRule="auto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4" w:type="dxa"/>
            <w:noWrap w:val="0"/>
            <w:vAlign w:val="center"/>
          </w:tcPr>
          <w:p w14:paraId="18AFB240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统方事件短信通知</w:t>
            </w:r>
          </w:p>
        </w:tc>
        <w:tc>
          <w:tcPr>
            <w:tcW w:w="5658" w:type="dxa"/>
            <w:noWrap w:val="0"/>
            <w:vAlign w:val="center"/>
          </w:tcPr>
          <w:p w14:paraId="18E23BC7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发现统方行为，通过短信在第一时间向纪检人员发送告警通知，使统方行为能及时被发现和处理。</w:t>
            </w:r>
          </w:p>
        </w:tc>
        <w:tc>
          <w:tcPr>
            <w:tcW w:w="1431" w:type="dxa"/>
            <w:noWrap w:val="0"/>
            <w:vAlign w:val="center"/>
          </w:tcPr>
          <w:p w14:paraId="40C2F8D9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7×24小时</w:t>
            </w:r>
          </w:p>
        </w:tc>
      </w:tr>
      <w:tr w14:paraId="096537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673" w:type="dxa"/>
            <w:noWrap w:val="0"/>
            <w:vAlign w:val="center"/>
          </w:tcPr>
          <w:p w14:paraId="70A3E0CB">
            <w:pPr>
              <w:numPr>
                <w:ilvl w:val="0"/>
                <w:numId w:val="4"/>
              </w:numPr>
              <w:spacing w:line="360" w:lineRule="auto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4" w:type="dxa"/>
            <w:noWrap w:val="0"/>
            <w:vAlign w:val="center"/>
          </w:tcPr>
          <w:p w14:paraId="3C612DCC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操作系统</w:t>
            </w:r>
          </w:p>
        </w:tc>
        <w:tc>
          <w:tcPr>
            <w:tcW w:w="5658" w:type="dxa"/>
            <w:noWrap w:val="0"/>
            <w:vAlign w:val="center"/>
          </w:tcPr>
          <w:p w14:paraId="502662A4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安装操作系统，正版授权</w:t>
            </w:r>
          </w:p>
        </w:tc>
        <w:tc>
          <w:tcPr>
            <w:tcW w:w="1431" w:type="dxa"/>
            <w:noWrap w:val="0"/>
            <w:vAlign w:val="center"/>
          </w:tcPr>
          <w:p w14:paraId="3538B780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按需提供</w:t>
            </w:r>
          </w:p>
        </w:tc>
      </w:tr>
      <w:tr w14:paraId="67E1FE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673" w:type="dxa"/>
            <w:noWrap w:val="0"/>
            <w:vAlign w:val="center"/>
          </w:tcPr>
          <w:p w14:paraId="2B1C48B7">
            <w:pPr>
              <w:numPr>
                <w:ilvl w:val="0"/>
                <w:numId w:val="4"/>
              </w:numPr>
              <w:spacing w:line="360" w:lineRule="auto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4" w:type="dxa"/>
            <w:noWrap w:val="0"/>
            <w:vAlign w:val="center"/>
          </w:tcPr>
          <w:p w14:paraId="129E6064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</w:tc>
        <w:tc>
          <w:tcPr>
            <w:tcW w:w="5658" w:type="dxa"/>
            <w:noWrap w:val="0"/>
            <w:vAlign w:val="center"/>
          </w:tcPr>
          <w:p w14:paraId="6B1F15D8">
            <w:pPr>
              <w:numPr>
                <w:ilvl w:val="0"/>
                <w:numId w:val="0"/>
              </w:numPr>
              <w:spacing w:line="360" w:lineRule="auto"/>
              <w:ind w:firstLine="240" w:firstLineChars="10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因应医院信息化发展要求，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需重新对医院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HIS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阳光用药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系统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进行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对接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，后期如因医院建设医用耗材管理系统，供应商需要免费提供接口对接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与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原有设备使用统一（兼容）的操作系统、统一的后台数据库及统一的系统接口标准与网络协议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与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原有系统实现无缝联接，兼容原有系统软件和数据库，确保系统的使用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2059B609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1" w:type="dxa"/>
            <w:noWrap w:val="0"/>
            <w:vAlign w:val="center"/>
          </w:tcPr>
          <w:p w14:paraId="294471DE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6A99E6E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DD5562B"/>
    <w:multiLevelType w:val="singleLevel"/>
    <w:tmpl w:val="ADD5562B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00000000"/>
    <w:multiLevelType w:val="singleLevel"/>
    <w:tmpl w:val="00000000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00000004"/>
    <w:multiLevelType w:val="singleLevel"/>
    <w:tmpl w:val="00000004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0000000A"/>
    <w:multiLevelType w:val="singleLevel"/>
    <w:tmpl w:val="0000000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iOTc2ZGExNjg3ZmM3ZGI0YWRkMTVmZDNiZDg2YjUifQ=="/>
  </w:docVars>
  <w:rsids>
    <w:rsidRoot w:val="00000000"/>
    <w:rsid w:val="0D65168E"/>
    <w:rsid w:val="2EE200A1"/>
    <w:rsid w:val="487A1B81"/>
    <w:rsid w:val="6E637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360" w:lineRule="auto"/>
    </w:pPr>
    <w:rPr>
      <w:b/>
      <w:bCs/>
      <w:sz w:val="24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6">
    <w:name w:val="0段落文字"/>
    <w:basedOn w:val="1"/>
    <w:qFormat/>
    <w:uiPriority w:val="0"/>
    <w:pPr>
      <w:spacing w:line="360" w:lineRule="auto"/>
      <w:ind w:firstLine="200" w:firstLineChars="200"/>
    </w:pPr>
    <w:rPr>
      <w:sz w:val="24"/>
      <w:szCs w:val="21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1729</Words>
  <Characters>1944</Characters>
  <Lines>0</Lines>
  <Paragraphs>0</Paragraphs>
  <TotalTime>1</TotalTime>
  <ScaleCrop>false</ScaleCrop>
  <LinksUpToDate>false</LinksUpToDate>
  <CharactersWithSpaces>1968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2024-11-27T01:04:00Z</dcterms:created>
  <dc:creator>Administrator</dc:creator>
  <cp:lastModifiedBy>静jing</cp:lastModifiedBy>
  <dcterms:modified xsi:type="dcterms:W3CDTF">2024-11-27T09:12:01Z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E6AC8490C5424FBE8225F602AA044A5B_13</vt:lpwstr>
  </property>
</Properties>
</file>