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C22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b/>
          <w:bCs/>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b/>
          <w:bCs/>
          <w:color w:val="000000" w:themeColor="text1"/>
          <w:spacing w:val="0"/>
          <w:sz w:val="24"/>
          <w:szCs w:val="24"/>
          <w:shd w:val="clear" w:fill="FFFFFF"/>
          <w:lang w:eastAsia="zh-CN"/>
          <w14:textFill>
            <w14:solidFill>
              <w14:schemeClr w14:val="tx1"/>
            </w14:solidFill>
          </w14:textFill>
        </w:rPr>
        <w:t>附件一：</w:t>
      </w:r>
    </w:p>
    <w:p w14:paraId="5AA7416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项目一：医院</w:t>
      </w:r>
      <w:r>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t>饭堂订餐系统</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项</w:t>
      </w:r>
      <w:r>
        <w:rPr>
          <w:rFonts w:hint="default"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目详细技术要求</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w:t>
      </w:r>
    </w:p>
    <w:p w14:paraId="39A82E0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医院</w:t>
      </w:r>
      <w:r>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t>饭堂订餐系统</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包含软件和2套支持饭卡、移动支付、刷脸支付的硬件设备，不少于三年的云存储及线路租用费用软件系统具有患者订餐系统（支持病床订餐）、职工用餐管理营养膳食搭配功能、库存与采购管理、财务结算系统、数据统计与分析等。基础功能包括多角色登录（患者、医护、管理员）、在线菜单展示与订餐、支付系统对接（支持饭卡、移动支付、刷脸支付）、送餐管理（病房号关联）。</w:t>
      </w:r>
    </w:p>
    <w:p w14:paraId="3A89A56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项目二：</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系统接口改造项目（</w:t>
      </w:r>
      <w:r>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t>国家传染病智能预警监测</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项</w:t>
      </w:r>
      <w:r>
        <w:rPr>
          <w:rFonts w:hint="default"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目详细技术要求</w:t>
      </w: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w:t>
      </w:r>
    </w:p>
    <w:p w14:paraId="70EF96A0">
      <w:pPr>
        <w:spacing w:line="360" w:lineRule="auto"/>
        <w:ind w:firstLine="480" w:firstLineChars="20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根据国家卫健委《关于做好传染病智能监测预警平台建设工作的通知》</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等文件参数</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要求，为完善我院传染病监测预警体系，现采购信息系统对接国家平台的智能监测预警前置软件。通过项目建设实现：与国家传染病监测预警平台无缝对接实时自动上报法定传染病数据院内多系统数据，智能抓取与整合疑似病例自动预警与闭环管理</w:t>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p>
    <w:p w14:paraId="7727B88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项目三：</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系统接口改造项目（医保药品耗材追溯信息采集与应用）</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项</w:t>
      </w:r>
      <w:r>
        <w:rPr>
          <w:rFonts w:hint="default"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目详细技术要求</w:t>
      </w: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w:t>
      </w:r>
    </w:p>
    <w:p w14:paraId="538D3B64">
      <w:pPr>
        <w:spacing w:line="360" w:lineRule="auto"/>
        <w:ind w:firstLine="480" w:firstLineChars="200"/>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根据国家医保局关于药品耗材追溯管理</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等文件参数</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的要求</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，我院采购医保药品耗材追溯信息采集与应用接口系统，实现从采购、配送、库存管理到临床使用</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等</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可追溯管理。</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基础</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数据对接模块必须支持与国家医保药品耗材编码数据库实时对接,应具备自动同步更新机制，更新延迟不超过1小时,需支持医院现有HIS系统中药品耗材数据的映射匹配</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w:t>
      </w:r>
    </w:p>
    <w:p w14:paraId="532484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项目四：</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系统接口改造项目（广东健康档案互通系统）</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项</w:t>
      </w:r>
      <w:r>
        <w:rPr>
          <w:rFonts w:hint="default"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目详细技术要求</w:t>
      </w:r>
      <w:r>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t>：</w:t>
      </w:r>
    </w:p>
    <w:p w14:paraId="718655A3">
      <w:pPr>
        <w:spacing w:line="360" w:lineRule="auto"/>
        <w:ind w:firstLine="480" w:firstLineChars="20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根据《广东省全民健康信息化发展规划（2023-2025）》</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等文件参数</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的</w:t>
      </w:r>
      <w:r>
        <w:rPr>
          <w:rFonts w:hint="eastAsia" w:ascii="仿宋" w:hAnsi="仿宋" w:eastAsia="仿宋" w:cs="仿宋"/>
          <w:b w:val="0"/>
          <w:bCs w:val="0"/>
          <w:color w:val="000000" w:themeColor="text1"/>
          <w:sz w:val="24"/>
          <w:szCs w:val="24"/>
          <w:lang w:eastAsia="zh-CN"/>
          <w14:textFill>
            <w14:solidFill>
              <w14:schemeClr w14:val="tx1"/>
            </w14:solidFill>
          </w14:textFill>
        </w:rPr>
        <w:t>要求，为推进医疗健康数据互联互通，现采购信息系统对接广东省健康档案互通平台的系统集成接口服务。通过项目建设实现：与省级健康档案平台双向数据交互,电子病历数据标准化采集与上传,患者跨机构诊疗信息调阅,区域医疗协同服务支持。</w:t>
      </w:r>
    </w:p>
    <w:p w14:paraId="33331D0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仿宋" w:hAnsi="仿宋" w:eastAsia="仿宋" w:cs="仿宋"/>
          <w:b w:val="0"/>
          <w:bCs w:val="0"/>
          <w:color w:val="000000" w:themeColor="text1"/>
          <w:spacing w:val="0"/>
          <w:sz w:val="24"/>
          <w:szCs w:val="24"/>
          <w:shd w:val="clear" w:fill="FFFFFF"/>
          <w:lang w:eastAsia="zh-CN"/>
          <w14:textFill>
            <w14:solidFill>
              <w14:schemeClr w14:val="tx1"/>
            </w14:solidFill>
          </w14:textFill>
        </w:rPr>
      </w:pPr>
    </w:p>
    <w:p w14:paraId="223DD29C">
      <w:pPr>
        <w:rPr>
          <w:b w:val="0"/>
          <w:bCs w:val="0"/>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85DB3"/>
    <w:rsid w:val="264542D6"/>
    <w:rsid w:val="67A8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2025-03-29T00:01:00Z</dcterms:created>
  <dc:creator>lock</dc:creator>
  <cp:lastModifiedBy>lock</cp:lastModifiedBy>
  <cp:lastPrinted>2025-04-02T01:02:22Z</cp:lastPrinted>
  <dcterms:modified xsi:type="dcterms:W3CDTF">2025-04-03T07:49:01Z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4C7C0093571A4EA2A4FD7244C5D4728F_11</vt:lpwstr>
  </property>
  <property fmtid="{D5CDD505-2E9C-101B-9397-08002B2CF9AE}" pid="4" name="KSOTemplateDocerSaveRecord">
    <vt:lpwstr>eyJoZGlkIjoiMWNiOTc2ZGExNjg3ZmM3ZGI0YWRkMTVmZDNiZDg2YjUiLCJ1c2VySWQiOiI1ODYyNzkxNjQifQ==</vt:lpwstr>
  </property>
</Properties>
</file>